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36B" w:rsidRDefault="00396CC2" w:rsidP="004C736B">
      <w:pPr>
        <w:rPr>
          <w:rFonts w:ascii="Times New Roman" w:hAnsi="Times New Roman" w:cs="Times New Roman"/>
        </w:rPr>
      </w:pPr>
      <w:bookmarkStart w:id="0" w:name="_GoBack"/>
      <w:r>
        <w:rPr>
          <w:rFonts w:ascii="Times New Roman" w:hAnsi="Times New Roman" w:cs="Times New Roman"/>
        </w:rPr>
        <w:t>Выполняем практическую работу №29.</w:t>
      </w:r>
    </w:p>
    <w:p w:rsidR="00396CC2" w:rsidRDefault="00396CC2" w:rsidP="004C736B">
      <w:pPr>
        <w:rPr>
          <w:rFonts w:ascii="Times New Roman" w:hAnsi="Times New Roman" w:cs="Times New Roman"/>
        </w:rPr>
      </w:pPr>
    </w:p>
    <w:p w:rsidR="00396CC2" w:rsidRDefault="00396CC2" w:rsidP="004C736B">
      <w:pPr>
        <w:rPr>
          <w:rFonts w:ascii="Times New Roman" w:hAnsi="Times New Roman" w:cs="Times New Roman"/>
        </w:rPr>
      </w:pPr>
      <w:r>
        <w:rPr>
          <w:rFonts w:ascii="Times New Roman" w:hAnsi="Times New Roman" w:cs="Times New Roman"/>
        </w:rPr>
        <w:t>Практическая работа №29.</w:t>
      </w:r>
    </w:p>
    <w:p w:rsidR="00396CC2" w:rsidRDefault="00396CC2" w:rsidP="004C736B">
      <w:pPr>
        <w:rPr>
          <w:rFonts w:ascii="Times New Roman" w:hAnsi="Times New Roman" w:cs="Times New Roman"/>
        </w:rPr>
      </w:pPr>
      <w:r>
        <w:rPr>
          <w:rFonts w:ascii="Times New Roman" w:hAnsi="Times New Roman" w:cs="Times New Roman"/>
        </w:rPr>
        <w:t>Основные направления модернизации.</w:t>
      </w:r>
    </w:p>
    <w:p w:rsidR="00396CC2" w:rsidRDefault="00396CC2" w:rsidP="004C736B">
      <w:pPr>
        <w:rPr>
          <w:rFonts w:ascii="Times New Roman" w:hAnsi="Times New Roman" w:cs="Times New Roman"/>
        </w:rPr>
      </w:pPr>
      <w:r>
        <w:rPr>
          <w:rFonts w:ascii="Times New Roman" w:hAnsi="Times New Roman" w:cs="Times New Roman"/>
        </w:rPr>
        <w:t>Цель работы: ознакомиться с основными направлениями модернизации электрических машин.</w:t>
      </w:r>
    </w:p>
    <w:p w:rsidR="00396CC2" w:rsidRDefault="00396CC2" w:rsidP="004C736B">
      <w:pPr>
        <w:rPr>
          <w:rFonts w:ascii="Times New Roman" w:hAnsi="Times New Roman" w:cs="Times New Roman"/>
        </w:rPr>
      </w:pPr>
      <w:r>
        <w:rPr>
          <w:rFonts w:ascii="Times New Roman" w:hAnsi="Times New Roman" w:cs="Times New Roman"/>
        </w:rPr>
        <w:t>Ход работы:</w:t>
      </w:r>
    </w:p>
    <w:p w:rsidR="00396CC2" w:rsidRDefault="00396CC2" w:rsidP="00396CC2">
      <w:pPr>
        <w:pStyle w:val="a3"/>
        <w:numPr>
          <w:ilvl w:val="0"/>
          <w:numId w:val="1"/>
        </w:numPr>
        <w:rPr>
          <w:rFonts w:ascii="Times New Roman" w:hAnsi="Times New Roman" w:cs="Times New Roman"/>
        </w:rPr>
      </w:pPr>
      <w:r>
        <w:rPr>
          <w:rFonts w:ascii="Times New Roman" w:hAnsi="Times New Roman" w:cs="Times New Roman"/>
        </w:rPr>
        <w:t>Изучить теоретический материал.</w:t>
      </w:r>
    </w:p>
    <w:p w:rsidR="00396CC2" w:rsidRDefault="00396CC2" w:rsidP="00396CC2">
      <w:pPr>
        <w:pStyle w:val="a3"/>
        <w:numPr>
          <w:ilvl w:val="0"/>
          <w:numId w:val="1"/>
        </w:numPr>
        <w:rPr>
          <w:rFonts w:ascii="Times New Roman" w:hAnsi="Times New Roman" w:cs="Times New Roman"/>
        </w:rPr>
      </w:pPr>
      <w:r>
        <w:rPr>
          <w:rFonts w:ascii="Times New Roman" w:hAnsi="Times New Roman" w:cs="Times New Roman"/>
        </w:rPr>
        <w:t>Записать определение модернизации.</w:t>
      </w:r>
    </w:p>
    <w:p w:rsidR="00396CC2" w:rsidRDefault="00396CC2" w:rsidP="00396CC2">
      <w:pPr>
        <w:pStyle w:val="a3"/>
        <w:numPr>
          <w:ilvl w:val="0"/>
          <w:numId w:val="1"/>
        </w:numPr>
        <w:rPr>
          <w:rFonts w:ascii="Times New Roman" w:hAnsi="Times New Roman" w:cs="Times New Roman"/>
        </w:rPr>
      </w:pPr>
      <w:r>
        <w:rPr>
          <w:rFonts w:ascii="Times New Roman" w:hAnsi="Times New Roman" w:cs="Times New Roman"/>
        </w:rPr>
        <w:t>Заполнить таблицу:</w:t>
      </w:r>
    </w:p>
    <w:tbl>
      <w:tblPr>
        <w:tblStyle w:val="a4"/>
        <w:tblW w:w="0" w:type="auto"/>
        <w:tblInd w:w="-431" w:type="dxa"/>
        <w:tblLook w:val="04A0" w:firstRow="1" w:lastRow="0" w:firstColumn="1" w:lastColumn="0" w:noHBand="0" w:noVBand="1"/>
      </w:tblPr>
      <w:tblGrid>
        <w:gridCol w:w="2694"/>
        <w:gridCol w:w="7082"/>
      </w:tblGrid>
      <w:tr w:rsidR="00396CC2" w:rsidTr="00396CC2">
        <w:tc>
          <w:tcPr>
            <w:tcW w:w="2694" w:type="dxa"/>
          </w:tcPr>
          <w:p w:rsidR="00396CC2" w:rsidRDefault="00396CC2" w:rsidP="00396CC2">
            <w:pPr>
              <w:ind w:left="0"/>
              <w:jc w:val="center"/>
              <w:rPr>
                <w:rFonts w:ascii="Times New Roman" w:hAnsi="Times New Roman" w:cs="Times New Roman"/>
              </w:rPr>
            </w:pPr>
            <w:r>
              <w:rPr>
                <w:rFonts w:ascii="Times New Roman" w:hAnsi="Times New Roman" w:cs="Times New Roman"/>
              </w:rPr>
              <w:t>Наименование направления модернизации</w:t>
            </w:r>
          </w:p>
        </w:tc>
        <w:tc>
          <w:tcPr>
            <w:tcW w:w="7082" w:type="dxa"/>
          </w:tcPr>
          <w:p w:rsidR="00396CC2" w:rsidRDefault="00396CC2" w:rsidP="00396CC2">
            <w:pPr>
              <w:ind w:left="0"/>
              <w:jc w:val="center"/>
              <w:rPr>
                <w:rFonts w:ascii="Times New Roman" w:hAnsi="Times New Roman" w:cs="Times New Roman"/>
              </w:rPr>
            </w:pPr>
            <w:r>
              <w:rPr>
                <w:rFonts w:ascii="Times New Roman" w:hAnsi="Times New Roman" w:cs="Times New Roman"/>
              </w:rPr>
              <w:t>Сущность модернизации</w:t>
            </w:r>
          </w:p>
        </w:tc>
      </w:tr>
      <w:tr w:rsidR="00396CC2" w:rsidTr="00396CC2">
        <w:tc>
          <w:tcPr>
            <w:tcW w:w="2694" w:type="dxa"/>
          </w:tcPr>
          <w:p w:rsidR="00396CC2" w:rsidRDefault="00396CC2" w:rsidP="00396CC2">
            <w:pPr>
              <w:ind w:left="0"/>
              <w:rPr>
                <w:rFonts w:ascii="Times New Roman" w:hAnsi="Times New Roman" w:cs="Times New Roman"/>
              </w:rPr>
            </w:pPr>
          </w:p>
        </w:tc>
        <w:tc>
          <w:tcPr>
            <w:tcW w:w="7082" w:type="dxa"/>
          </w:tcPr>
          <w:p w:rsidR="00396CC2" w:rsidRDefault="00396CC2" w:rsidP="00396CC2">
            <w:pPr>
              <w:ind w:left="0"/>
              <w:rPr>
                <w:rFonts w:ascii="Times New Roman" w:hAnsi="Times New Roman" w:cs="Times New Roman"/>
              </w:rPr>
            </w:pPr>
          </w:p>
        </w:tc>
      </w:tr>
    </w:tbl>
    <w:p w:rsidR="00396CC2" w:rsidRPr="00396CC2" w:rsidRDefault="00396CC2" w:rsidP="00396CC2">
      <w:pPr>
        <w:pStyle w:val="a3"/>
        <w:numPr>
          <w:ilvl w:val="0"/>
          <w:numId w:val="1"/>
        </w:numPr>
        <w:rPr>
          <w:rFonts w:ascii="Times New Roman" w:hAnsi="Times New Roman" w:cs="Times New Roman"/>
        </w:rPr>
      </w:pPr>
      <w:r>
        <w:rPr>
          <w:rFonts w:ascii="Times New Roman" w:hAnsi="Times New Roman" w:cs="Times New Roman"/>
        </w:rPr>
        <w:t>Оформить вывод.</w:t>
      </w:r>
    </w:p>
    <w:p w:rsidR="004C736B" w:rsidRPr="004C736B" w:rsidRDefault="004C736B" w:rsidP="004C736B">
      <w:pPr>
        <w:rPr>
          <w:rFonts w:ascii="Times New Roman" w:hAnsi="Times New Roman" w:cs="Times New Roman"/>
        </w:rPr>
      </w:pPr>
      <w:r w:rsidRPr="004C736B">
        <w:rPr>
          <w:rFonts w:ascii="Times New Roman" w:hAnsi="Times New Roman" w:cs="Times New Roman"/>
        </w:rPr>
        <w:t xml:space="preserve">Модернизация - это изменение, усовершенствование, отвечающее современным требованиям. С течением времени оборудование, составные его части, а значит и часть электрической системы подвергается как техническому, так и моральному старению. </w:t>
      </w:r>
      <w:r w:rsidR="004124E4">
        <w:rPr>
          <w:rFonts w:ascii="Times New Roman" w:hAnsi="Times New Roman" w:cs="Times New Roman"/>
        </w:rPr>
        <w:t>Рассмотрим модернизацию электрических машин.</w:t>
      </w:r>
    </w:p>
    <w:p w:rsidR="004C736B" w:rsidRPr="004C736B" w:rsidRDefault="004C736B" w:rsidP="004C736B">
      <w:pPr>
        <w:spacing w:line="240" w:lineRule="auto"/>
        <w:rPr>
          <w:rFonts w:ascii="Times New Roman" w:hAnsi="Times New Roman" w:cs="Times New Roman"/>
        </w:rPr>
      </w:pPr>
      <w:r w:rsidRPr="004C736B">
        <w:rPr>
          <w:rFonts w:ascii="Times New Roman" w:hAnsi="Times New Roman" w:cs="Times New Roman"/>
        </w:rPr>
        <w:t xml:space="preserve">Как правило, модернизацию проводят на крупных электрических машинах, поскольку для машин малой и средней мощности это экономически нецелесообразно. Модернизация крупных электрических машин осуществляется во время капитального ремонта путем применения современных технических решений по электротехническим и изоляционным материалам, системам охлаждения и конструкции отдельных узлов. </w:t>
      </w:r>
      <w:r w:rsidRPr="004C736B">
        <w:rPr>
          <w:rFonts w:ascii="Times New Roman" w:hAnsi="Times New Roman" w:cs="Times New Roman"/>
        </w:rPr>
        <w:br/>
        <w:t xml:space="preserve">В результате модернизации электрических машин обычно решаются следующие задачи: увеличение номинальной мощности и коэффициента полезного действия (снижение потерь), повышение уровня надежности, технологичности и </w:t>
      </w:r>
      <w:proofErr w:type="spellStart"/>
      <w:r w:rsidRPr="004C736B">
        <w:rPr>
          <w:rFonts w:ascii="Times New Roman" w:hAnsi="Times New Roman" w:cs="Times New Roman"/>
        </w:rPr>
        <w:t>ремонтоспособности</w:t>
      </w:r>
      <w:proofErr w:type="spellEnd"/>
      <w:r w:rsidRPr="004C736B">
        <w:rPr>
          <w:rFonts w:ascii="Times New Roman" w:hAnsi="Times New Roman" w:cs="Times New Roman"/>
        </w:rPr>
        <w:t>, а также снижение эксплуатационных затрат.</w:t>
      </w:r>
    </w:p>
    <w:p w:rsidR="004C736B" w:rsidRPr="004C736B" w:rsidRDefault="004C736B" w:rsidP="004C736B">
      <w:pPr>
        <w:spacing w:line="240" w:lineRule="auto"/>
        <w:rPr>
          <w:rFonts w:ascii="Times New Roman" w:hAnsi="Times New Roman" w:cs="Times New Roman"/>
        </w:rPr>
      </w:pPr>
      <w:r w:rsidRPr="004C736B">
        <w:rPr>
          <w:rFonts w:ascii="Times New Roman" w:hAnsi="Times New Roman" w:cs="Times New Roman"/>
        </w:rPr>
        <w:t>Повышение мощности крупных электрических машин.</w:t>
      </w:r>
    </w:p>
    <w:p w:rsidR="004C736B" w:rsidRPr="004C736B" w:rsidRDefault="004C736B" w:rsidP="004C736B">
      <w:pPr>
        <w:spacing w:line="240" w:lineRule="auto"/>
        <w:rPr>
          <w:rFonts w:ascii="Times New Roman" w:hAnsi="Times New Roman" w:cs="Times New Roman"/>
        </w:rPr>
      </w:pPr>
      <w:r w:rsidRPr="004C736B">
        <w:rPr>
          <w:rFonts w:ascii="Times New Roman" w:hAnsi="Times New Roman" w:cs="Times New Roman"/>
        </w:rPr>
        <w:t xml:space="preserve">Повышение единичной мощности генераторов позволяет с минимальными затратами увеличить установленную мощность электростанции. Этот путь существенно дешевле строительства новых блоков. </w:t>
      </w:r>
      <w:r w:rsidRPr="004C736B">
        <w:rPr>
          <w:rFonts w:ascii="Times New Roman" w:hAnsi="Times New Roman" w:cs="Times New Roman"/>
        </w:rPr>
        <w:br/>
        <w:t>Увеличивая мощность генераторов следует помнить о необходимости увеличения мощности приводных турбин и сопряженных с ними тепло- или гидросиловых систем, а также необходимо проверить готовность электрической части станции (система шин, трансформатор, система зашиты и др.) к работе при увеличенной мощности. В случае необходимости следует модернизировать или заменить и это оборудование. Одновременно следует проверить соответствие перегрузочной способности модернизированного генератора требованиям соответствующих стандартов.</w:t>
      </w:r>
      <w:r w:rsidRPr="004C736B">
        <w:rPr>
          <w:rFonts w:ascii="Times New Roman" w:hAnsi="Times New Roman" w:cs="Times New Roman"/>
        </w:rPr>
        <w:br/>
        <w:t>Повышение единичной мощности электрических двигателей приводит к росту производительности приводимых механизмов, которые следует проверить на возможность работы при увеличенной мощности или производительности. Необходимо проверить соответствие перегрузочной способности модернизированного двигателя требованиям стандартов.</w:t>
      </w:r>
    </w:p>
    <w:p w:rsidR="004C736B" w:rsidRPr="004C736B" w:rsidRDefault="004C736B" w:rsidP="004C736B">
      <w:pPr>
        <w:spacing w:line="240" w:lineRule="auto"/>
        <w:rPr>
          <w:rFonts w:ascii="Times New Roman" w:hAnsi="Times New Roman" w:cs="Times New Roman"/>
        </w:rPr>
      </w:pPr>
      <w:r w:rsidRPr="004C736B">
        <w:rPr>
          <w:rFonts w:ascii="Times New Roman" w:hAnsi="Times New Roman" w:cs="Times New Roman"/>
        </w:rPr>
        <w:t>Увеличение коэффициента полезного действия.</w:t>
      </w:r>
    </w:p>
    <w:p w:rsidR="004C736B" w:rsidRPr="004C736B" w:rsidRDefault="004C736B" w:rsidP="004C736B">
      <w:pPr>
        <w:spacing w:line="240" w:lineRule="auto"/>
        <w:rPr>
          <w:rFonts w:ascii="Times New Roman" w:hAnsi="Times New Roman" w:cs="Times New Roman"/>
        </w:rPr>
      </w:pPr>
      <w:r w:rsidRPr="004C736B">
        <w:rPr>
          <w:rFonts w:ascii="Times New Roman" w:hAnsi="Times New Roman" w:cs="Times New Roman"/>
        </w:rPr>
        <w:t>Увеличение КПД электрических машин достигается за счет уменьшения удельных потерь. Магнитные потери снижаются благодаря применению при ремонте новых улучшенных сортов электротехнической стали, электрические — за счет увеличения сечения эффективного проводника (при использовании более тонкой изоляции) и снижения рабочей температуры обмоток (сочетание более тонкой изоляции с модернизацией системы охлаждения), механические и вентиляционные потери — благодаря Применению более рациональной конструкции опорных узлов, минимизации расхода хладагента и др.</w:t>
      </w:r>
      <w:r w:rsidRPr="004C736B">
        <w:rPr>
          <w:rFonts w:ascii="Times New Roman" w:hAnsi="Times New Roman" w:cs="Times New Roman"/>
        </w:rPr>
        <w:br/>
        <w:t>При увеличении КПД снижаются эксплуатационные затраты (стоимость энергии потерь), уменьшается рабочая температура отдельных узлов электрической машины, что позволяет увеличить надежность машины в целом и ее межремонтный период.</w:t>
      </w:r>
    </w:p>
    <w:p w:rsidR="004C736B" w:rsidRPr="004C736B" w:rsidRDefault="004C736B" w:rsidP="004C736B">
      <w:pPr>
        <w:spacing w:line="240" w:lineRule="auto"/>
        <w:rPr>
          <w:rFonts w:ascii="Times New Roman" w:hAnsi="Times New Roman" w:cs="Times New Roman"/>
        </w:rPr>
      </w:pPr>
      <w:r w:rsidRPr="004C736B">
        <w:rPr>
          <w:rFonts w:ascii="Times New Roman" w:hAnsi="Times New Roman" w:cs="Times New Roman"/>
        </w:rPr>
        <w:t>Повышение уровня надежности.</w:t>
      </w:r>
    </w:p>
    <w:p w:rsidR="004C736B" w:rsidRPr="004C736B" w:rsidRDefault="004C736B" w:rsidP="004C736B">
      <w:pPr>
        <w:spacing w:line="240" w:lineRule="auto"/>
        <w:rPr>
          <w:rFonts w:ascii="Times New Roman" w:hAnsi="Times New Roman" w:cs="Times New Roman"/>
        </w:rPr>
      </w:pPr>
      <w:r w:rsidRPr="004C736B">
        <w:rPr>
          <w:rFonts w:ascii="Times New Roman" w:hAnsi="Times New Roman" w:cs="Times New Roman"/>
        </w:rPr>
        <w:t>Повышение уровня надежности достигается применением современных технических решении по креплению обмоток и прессовке активной стали, по подшипниковым узлам и узлам токосъема, использованию современных изоляционных конструкций и уменьшению рабочих температур отдельных узлов машины за счет улучшения их охлаждения.</w:t>
      </w:r>
    </w:p>
    <w:p w:rsidR="004C736B" w:rsidRPr="004C736B" w:rsidRDefault="004C736B" w:rsidP="004C736B">
      <w:pPr>
        <w:spacing w:line="240" w:lineRule="auto"/>
        <w:rPr>
          <w:rFonts w:ascii="Times New Roman" w:hAnsi="Times New Roman" w:cs="Times New Roman"/>
        </w:rPr>
      </w:pPr>
      <w:r w:rsidRPr="004C736B">
        <w:rPr>
          <w:rFonts w:ascii="Times New Roman" w:hAnsi="Times New Roman" w:cs="Times New Roman"/>
        </w:rPr>
        <w:t>Снижение эксплуатационных затрат.</w:t>
      </w:r>
    </w:p>
    <w:p w:rsidR="004C736B" w:rsidRPr="004C736B" w:rsidRDefault="004C736B" w:rsidP="004C736B">
      <w:pPr>
        <w:spacing w:line="240" w:lineRule="auto"/>
        <w:rPr>
          <w:rFonts w:ascii="Times New Roman" w:hAnsi="Times New Roman" w:cs="Times New Roman"/>
        </w:rPr>
      </w:pPr>
      <w:r w:rsidRPr="004C736B">
        <w:rPr>
          <w:rFonts w:ascii="Times New Roman" w:hAnsi="Times New Roman" w:cs="Times New Roman"/>
        </w:rPr>
        <w:lastRenderedPageBreak/>
        <w:t>Снижение затрат достигается путем уменьшения потерь (увеличения КПД), увеличением межремонтного периода благодаря уменьшению физического износа отдельных узлов и деталей после модернизации и уменьшением количества обслуживающего персонала за счет увеличения степени автоматизации режимов работы. В настоящее время снижение этих затрат осуществляется путем перевода крупных генераторов (мощностью до 200 МВТ) с водородного на воздушное охлаждение.</w:t>
      </w:r>
    </w:p>
    <w:p w:rsidR="004C736B" w:rsidRPr="004C736B" w:rsidRDefault="004C736B" w:rsidP="004C736B">
      <w:pPr>
        <w:spacing w:line="240" w:lineRule="auto"/>
        <w:rPr>
          <w:rFonts w:ascii="Times New Roman" w:hAnsi="Times New Roman" w:cs="Times New Roman"/>
        </w:rPr>
      </w:pPr>
      <w:r w:rsidRPr="004C736B">
        <w:rPr>
          <w:rFonts w:ascii="Times New Roman" w:hAnsi="Times New Roman" w:cs="Times New Roman"/>
        </w:rPr>
        <w:t xml:space="preserve">Повышение технологичности и </w:t>
      </w:r>
      <w:proofErr w:type="spellStart"/>
      <w:r w:rsidRPr="004C736B">
        <w:rPr>
          <w:rFonts w:ascii="Times New Roman" w:hAnsi="Times New Roman" w:cs="Times New Roman"/>
        </w:rPr>
        <w:t>ремонтоспособности</w:t>
      </w:r>
      <w:proofErr w:type="spellEnd"/>
      <w:r w:rsidRPr="004C736B">
        <w:rPr>
          <w:rFonts w:ascii="Times New Roman" w:hAnsi="Times New Roman" w:cs="Times New Roman"/>
        </w:rPr>
        <w:t>.</w:t>
      </w:r>
    </w:p>
    <w:p w:rsidR="004C736B" w:rsidRPr="004C736B" w:rsidRDefault="004C736B" w:rsidP="004C736B">
      <w:pPr>
        <w:spacing w:line="240" w:lineRule="auto"/>
        <w:rPr>
          <w:rFonts w:ascii="Times New Roman" w:hAnsi="Times New Roman" w:cs="Times New Roman"/>
        </w:rPr>
      </w:pPr>
      <w:r w:rsidRPr="004C736B">
        <w:rPr>
          <w:rFonts w:ascii="Times New Roman" w:hAnsi="Times New Roman" w:cs="Times New Roman"/>
        </w:rPr>
        <w:t>Этот показатель улучшается благодаря применению в процессе модернизации современных технических решений по соединению отдельных узлов и деталей, что позволяет уменьшить сроки и стоимость следующего за модернизацией ремонта.</w:t>
      </w:r>
    </w:p>
    <w:p w:rsidR="004C736B" w:rsidRPr="004C736B" w:rsidRDefault="004C736B" w:rsidP="004C736B">
      <w:pPr>
        <w:spacing w:line="240" w:lineRule="auto"/>
        <w:rPr>
          <w:rFonts w:ascii="Times New Roman" w:hAnsi="Times New Roman" w:cs="Times New Roman"/>
        </w:rPr>
      </w:pPr>
      <w:r w:rsidRPr="004C736B">
        <w:rPr>
          <w:rFonts w:ascii="Times New Roman" w:hAnsi="Times New Roman" w:cs="Times New Roman"/>
        </w:rPr>
        <w:t>Модернизация обмоток из прямоугольного провода.</w:t>
      </w:r>
    </w:p>
    <w:p w:rsidR="004C736B" w:rsidRPr="004C736B" w:rsidRDefault="004C736B" w:rsidP="004C736B">
      <w:pPr>
        <w:spacing w:line="240" w:lineRule="auto"/>
        <w:rPr>
          <w:rFonts w:ascii="Times New Roman" w:hAnsi="Times New Roman" w:cs="Times New Roman"/>
        </w:rPr>
      </w:pPr>
      <w:r w:rsidRPr="004C736B">
        <w:rPr>
          <w:rFonts w:ascii="Times New Roman" w:hAnsi="Times New Roman" w:cs="Times New Roman"/>
        </w:rPr>
        <w:t>При модернизации обмоток стремятся улучшить изоляцию катушек (стержней) и изменить геометрию лобовых частей для уменьшения их длины и улучшения охлаждения.</w:t>
      </w:r>
      <w:r w:rsidRPr="004C736B">
        <w:rPr>
          <w:rFonts w:ascii="Times New Roman" w:hAnsi="Times New Roman" w:cs="Times New Roman"/>
        </w:rPr>
        <w:br/>
        <w:t>Модернизация системы вентиляции.</w:t>
      </w:r>
    </w:p>
    <w:p w:rsidR="004C736B" w:rsidRPr="004C736B" w:rsidRDefault="004C736B" w:rsidP="004C736B">
      <w:pPr>
        <w:spacing w:line="240" w:lineRule="auto"/>
        <w:rPr>
          <w:rFonts w:ascii="Times New Roman" w:hAnsi="Times New Roman" w:cs="Times New Roman"/>
        </w:rPr>
      </w:pPr>
      <w:r w:rsidRPr="004C736B">
        <w:rPr>
          <w:rFonts w:ascii="Times New Roman" w:hAnsi="Times New Roman" w:cs="Times New Roman"/>
        </w:rPr>
        <w:t>Модернизация вентиляционной системы определяется опытом эксплуатации каждой машины и не имеет унифицированных технических решений. Как правило, она проводится путем увеличения давления или расхода охлаждающего газа.</w:t>
      </w:r>
      <w:r w:rsidRPr="004C736B">
        <w:rPr>
          <w:rFonts w:ascii="Times New Roman" w:hAnsi="Times New Roman" w:cs="Times New Roman"/>
        </w:rPr>
        <w:br/>
        <w:t>У турбогенераторов с косвенным охлаждением с ростом давления водорода температурный перепад на разделах «поверхность— водород» снижается приблизительно пропорционально росту давления. В меньшей мере снижается перегрев самого водорода. В итоге снижается рабочая температура обмоток. При увеличении давления необходимо усилить уплотнения вала и других узлов, обеспечивающих герметичность корпуса (включая сварные соединения).</w:t>
      </w:r>
      <w:r w:rsidRPr="004C736B">
        <w:rPr>
          <w:rFonts w:ascii="Times New Roman" w:hAnsi="Times New Roman" w:cs="Times New Roman"/>
        </w:rPr>
        <w:br/>
        <w:t xml:space="preserve">Кроме увеличения давления используют форсированное охлаждение лобовых частей обмотки возбуждения за счет усовершенствования каналов выпуска водорода из </w:t>
      </w:r>
      <w:proofErr w:type="spellStart"/>
      <w:r w:rsidRPr="004C736B">
        <w:rPr>
          <w:rFonts w:ascii="Times New Roman" w:hAnsi="Times New Roman" w:cs="Times New Roman"/>
        </w:rPr>
        <w:t>подбандажного</w:t>
      </w:r>
      <w:proofErr w:type="spellEnd"/>
      <w:r w:rsidRPr="004C736B">
        <w:rPr>
          <w:rFonts w:ascii="Times New Roman" w:hAnsi="Times New Roman" w:cs="Times New Roman"/>
        </w:rPr>
        <w:t xml:space="preserve"> пространства, Это позволяет увеличить расход газа через лобовые части и тем самым уменьшить их температуру. Кардинальным решением вопроса является перевод обмотки возбуждения на непосредственное газовое охлаждение.</w:t>
      </w:r>
      <w:r w:rsidRPr="004C736B">
        <w:rPr>
          <w:rFonts w:ascii="Times New Roman" w:hAnsi="Times New Roman" w:cs="Times New Roman"/>
        </w:rPr>
        <w:br/>
        <w:t>Увеличение расхода охлаждающего газа приводит к тому же эффекту, что и увеличение его давления. Однако с точки зрения уменьшения вентиляционных потерь повышение расхода газа часто оказывается более рациональным. Увеличение расхода охлаждающего газа происходит за счет увеличения напора, создаваемого вентилятором. Плотная компоновка турбогенератора практически не дает возможности изменить размеры вентилятора, поэтому увеличение напора связано со спрямлением (уменьшение закрутки) потока водорода за вентилятором в случае вытяжной вентиляции или перед ним в случае нагнетательной вентиляции с помощью установки направляющих аппаратов.</w:t>
      </w:r>
      <w:r w:rsidRPr="004C736B">
        <w:rPr>
          <w:rFonts w:ascii="Times New Roman" w:hAnsi="Times New Roman" w:cs="Times New Roman"/>
        </w:rPr>
        <w:br/>
        <w:t xml:space="preserve">В машинах с воздушным охлаждением расход охлаждающего газа увеличивают за счет установки дополнительных нагнетательных элементов на </w:t>
      </w:r>
      <w:proofErr w:type="spellStart"/>
      <w:r w:rsidRPr="004C736B">
        <w:rPr>
          <w:rFonts w:ascii="Times New Roman" w:hAnsi="Times New Roman" w:cs="Times New Roman"/>
        </w:rPr>
        <w:t>явнополюсном</w:t>
      </w:r>
      <w:proofErr w:type="spellEnd"/>
      <w:r w:rsidRPr="004C736B">
        <w:rPr>
          <w:rFonts w:ascii="Times New Roman" w:hAnsi="Times New Roman" w:cs="Times New Roman"/>
        </w:rPr>
        <w:t xml:space="preserve"> роторе и уменьшают рециркуляцию воздуха около вентилятора путем установки диффузоров или уменьшения зазора между диффузором и вентилятором.</w:t>
      </w:r>
    </w:p>
    <w:p w:rsidR="004C736B" w:rsidRPr="004C736B" w:rsidRDefault="004C736B" w:rsidP="004C736B">
      <w:pPr>
        <w:spacing w:line="240" w:lineRule="auto"/>
        <w:rPr>
          <w:rFonts w:ascii="Times New Roman" w:hAnsi="Times New Roman" w:cs="Times New Roman"/>
        </w:rPr>
      </w:pPr>
      <w:r w:rsidRPr="004C736B">
        <w:rPr>
          <w:rFonts w:ascii="Times New Roman" w:hAnsi="Times New Roman" w:cs="Times New Roman"/>
        </w:rPr>
        <w:t>Модернизация узла токосъема (контактные кольца-щетки).</w:t>
      </w:r>
    </w:p>
    <w:p w:rsidR="004C736B" w:rsidRPr="004C736B" w:rsidRDefault="004C736B" w:rsidP="004C736B">
      <w:pPr>
        <w:spacing w:line="240" w:lineRule="auto"/>
        <w:rPr>
          <w:rFonts w:ascii="Times New Roman" w:hAnsi="Times New Roman" w:cs="Times New Roman"/>
        </w:rPr>
      </w:pPr>
      <w:r w:rsidRPr="004C736B">
        <w:rPr>
          <w:rFonts w:ascii="Times New Roman" w:hAnsi="Times New Roman" w:cs="Times New Roman"/>
        </w:rPr>
        <w:t xml:space="preserve">Работы в этой области ведутся по следующим направлениям: для высокоскоростных электрических машин устанавливаются контактные кольца из </w:t>
      </w:r>
      <w:proofErr w:type="spellStart"/>
      <w:r w:rsidRPr="004C736B">
        <w:rPr>
          <w:rFonts w:ascii="Times New Roman" w:hAnsi="Times New Roman" w:cs="Times New Roman"/>
        </w:rPr>
        <w:t>термообработанной</w:t>
      </w:r>
      <w:proofErr w:type="spellEnd"/>
      <w:r w:rsidRPr="004C736B">
        <w:rPr>
          <w:rFonts w:ascii="Times New Roman" w:hAnsi="Times New Roman" w:cs="Times New Roman"/>
        </w:rPr>
        <w:t xml:space="preserve"> стали с высокой твердостью (НВ = 3000); нарезаются винтовые канавки на внешней поверхности колеи для улучшения динамической стойкости щеток, уменьшения износа щеток и колец, более равномерного распределения тока между щетками; заменяется </w:t>
      </w:r>
      <w:proofErr w:type="spellStart"/>
      <w:r w:rsidRPr="004C736B">
        <w:rPr>
          <w:rFonts w:ascii="Times New Roman" w:hAnsi="Times New Roman" w:cs="Times New Roman"/>
        </w:rPr>
        <w:t>миканитовая</w:t>
      </w:r>
      <w:proofErr w:type="spellEnd"/>
      <w:r w:rsidRPr="004C736B">
        <w:rPr>
          <w:rFonts w:ascii="Times New Roman" w:hAnsi="Times New Roman" w:cs="Times New Roman"/>
        </w:rPr>
        <w:t xml:space="preserve"> изоляция втулки контактных колец на </w:t>
      </w:r>
      <w:proofErr w:type="spellStart"/>
      <w:r w:rsidRPr="004C736B">
        <w:rPr>
          <w:rFonts w:ascii="Times New Roman" w:hAnsi="Times New Roman" w:cs="Times New Roman"/>
        </w:rPr>
        <w:t>стеклоизоляцию</w:t>
      </w:r>
      <w:proofErr w:type="spellEnd"/>
      <w:r w:rsidRPr="004C736B">
        <w:rPr>
          <w:rFonts w:ascii="Times New Roman" w:hAnsi="Times New Roman" w:cs="Times New Roman"/>
        </w:rPr>
        <w:t xml:space="preserve"> (на стеклотекстолит) для увеличения монолитности узла контактных колец; заменяются спиральные пружины из стальной проволоки на рулонные пружины постоянного давления; щеткодержатели изолируются от траверсы, а щетки — от нажимной пружины для исключения </w:t>
      </w:r>
      <w:proofErr w:type="spellStart"/>
      <w:r w:rsidRPr="004C736B">
        <w:rPr>
          <w:rFonts w:ascii="Times New Roman" w:hAnsi="Times New Roman" w:cs="Times New Roman"/>
        </w:rPr>
        <w:t>подгаров</w:t>
      </w:r>
      <w:proofErr w:type="spellEnd"/>
      <w:r w:rsidRPr="004C736B">
        <w:rPr>
          <w:rFonts w:ascii="Times New Roman" w:hAnsi="Times New Roman" w:cs="Times New Roman"/>
        </w:rPr>
        <w:t xml:space="preserve"> и оплавления обоймы, а также перегрева пружины из-за токов, протекающих по пружине и самой обойме. </w:t>
      </w:r>
    </w:p>
    <w:bookmarkEnd w:id="0"/>
    <w:p w:rsidR="00BF4E9E" w:rsidRPr="004C736B" w:rsidRDefault="00BF4E9E" w:rsidP="004C736B"/>
    <w:sectPr w:rsidR="00BF4E9E" w:rsidRPr="004C73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3B4749"/>
    <w:multiLevelType w:val="hybridMultilevel"/>
    <w:tmpl w:val="77742806"/>
    <w:lvl w:ilvl="0" w:tplc="DFF4409E">
      <w:start w:val="1"/>
      <w:numFmt w:val="decimal"/>
      <w:lvlText w:val="%1."/>
      <w:lvlJc w:val="left"/>
      <w:pPr>
        <w:ind w:left="-150" w:hanging="360"/>
      </w:pPr>
      <w:rPr>
        <w:rFonts w:hint="default"/>
      </w:rPr>
    </w:lvl>
    <w:lvl w:ilvl="1" w:tplc="04190019" w:tentative="1">
      <w:start w:val="1"/>
      <w:numFmt w:val="lowerLetter"/>
      <w:lvlText w:val="%2."/>
      <w:lvlJc w:val="left"/>
      <w:pPr>
        <w:ind w:left="570" w:hanging="360"/>
      </w:pPr>
    </w:lvl>
    <w:lvl w:ilvl="2" w:tplc="0419001B" w:tentative="1">
      <w:start w:val="1"/>
      <w:numFmt w:val="lowerRoman"/>
      <w:lvlText w:val="%3."/>
      <w:lvlJc w:val="right"/>
      <w:pPr>
        <w:ind w:left="1290" w:hanging="180"/>
      </w:pPr>
    </w:lvl>
    <w:lvl w:ilvl="3" w:tplc="0419000F" w:tentative="1">
      <w:start w:val="1"/>
      <w:numFmt w:val="decimal"/>
      <w:lvlText w:val="%4."/>
      <w:lvlJc w:val="left"/>
      <w:pPr>
        <w:ind w:left="2010" w:hanging="360"/>
      </w:pPr>
    </w:lvl>
    <w:lvl w:ilvl="4" w:tplc="04190019" w:tentative="1">
      <w:start w:val="1"/>
      <w:numFmt w:val="lowerLetter"/>
      <w:lvlText w:val="%5."/>
      <w:lvlJc w:val="left"/>
      <w:pPr>
        <w:ind w:left="2730" w:hanging="360"/>
      </w:pPr>
    </w:lvl>
    <w:lvl w:ilvl="5" w:tplc="0419001B" w:tentative="1">
      <w:start w:val="1"/>
      <w:numFmt w:val="lowerRoman"/>
      <w:lvlText w:val="%6."/>
      <w:lvlJc w:val="right"/>
      <w:pPr>
        <w:ind w:left="3450" w:hanging="180"/>
      </w:pPr>
    </w:lvl>
    <w:lvl w:ilvl="6" w:tplc="0419000F" w:tentative="1">
      <w:start w:val="1"/>
      <w:numFmt w:val="decimal"/>
      <w:lvlText w:val="%7."/>
      <w:lvlJc w:val="left"/>
      <w:pPr>
        <w:ind w:left="4170" w:hanging="360"/>
      </w:pPr>
    </w:lvl>
    <w:lvl w:ilvl="7" w:tplc="04190019" w:tentative="1">
      <w:start w:val="1"/>
      <w:numFmt w:val="lowerLetter"/>
      <w:lvlText w:val="%8."/>
      <w:lvlJc w:val="left"/>
      <w:pPr>
        <w:ind w:left="4890" w:hanging="360"/>
      </w:pPr>
    </w:lvl>
    <w:lvl w:ilvl="8" w:tplc="0419001B" w:tentative="1">
      <w:start w:val="1"/>
      <w:numFmt w:val="lowerRoman"/>
      <w:lvlText w:val="%9."/>
      <w:lvlJc w:val="right"/>
      <w:pPr>
        <w:ind w:left="56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3C0"/>
    <w:rsid w:val="002F23C0"/>
    <w:rsid w:val="00396CC2"/>
    <w:rsid w:val="004124E4"/>
    <w:rsid w:val="004C736B"/>
    <w:rsid w:val="009A1B05"/>
    <w:rsid w:val="00BF4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4858AE-117C-44DE-B5CB-CF92B8455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59" w:lineRule="auto"/>
        <w:ind w:left="-51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6CC2"/>
    <w:pPr>
      <w:ind w:left="720"/>
      <w:contextualSpacing/>
    </w:pPr>
  </w:style>
  <w:style w:type="table" w:styleId="a4">
    <w:name w:val="Table Grid"/>
    <w:basedOn w:val="a1"/>
    <w:uiPriority w:val="39"/>
    <w:rsid w:val="00396C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01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1097</Words>
  <Characters>6257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2020-04-12T18:00:00Z</dcterms:created>
  <dcterms:modified xsi:type="dcterms:W3CDTF">2020-04-12T20:38:00Z</dcterms:modified>
</cp:coreProperties>
</file>